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B0" w:rsidRPr="003A07B0" w:rsidRDefault="003A07B0" w:rsidP="003A07B0">
      <w:pPr>
        <w:spacing w:after="0" w:line="480" w:lineRule="auto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3A07B0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Figure 1.</w:t>
      </w:r>
    </w:p>
    <w:p w:rsidR="003A07B0" w:rsidRDefault="003A07B0" w:rsidP="003A07B0">
      <w:pPr>
        <w:spacing w:after="0" w:line="480" w:lineRule="auto"/>
        <w:rPr>
          <w:noProof/>
          <w:sz w:val="20"/>
          <w:szCs w:val="20"/>
          <w:lang w:val="en-US"/>
        </w:rPr>
      </w:pPr>
    </w:p>
    <w:p w:rsidR="00C06AB9" w:rsidRPr="009A0E21" w:rsidRDefault="00707C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14DEF18D" wp14:editId="465D7C23">
            <wp:extent cx="2762250" cy="22479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C06AB9" w:rsidRPr="009A0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BB"/>
    <w:rsid w:val="00094D82"/>
    <w:rsid w:val="003A07B0"/>
    <w:rsid w:val="004A0156"/>
    <w:rsid w:val="0054205C"/>
    <w:rsid w:val="00542263"/>
    <w:rsid w:val="005B754F"/>
    <w:rsid w:val="005D4248"/>
    <w:rsid w:val="0066730E"/>
    <w:rsid w:val="00707C67"/>
    <w:rsid w:val="00832497"/>
    <w:rsid w:val="009A0E21"/>
    <w:rsid w:val="009C0989"/>
    <w:rsid w:val="00A87E0E"/>
    <w:rsid w:val="00B20085"/>
    <w:rsid w:val="00B415A4"/>
    <w:rsid w:val="00C054D7"/>
    <w:rsid w:val="00C06AB9"/>
    <w:rsid w:val="00C653BB"/>
    <w:rsid w:val="00E74F1B"/>
    <w:rsid w:val="00FD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4142926961715994"/>
          <c:y val="5.1400554097404488E-2"/>
          <c:w val="0.69601918725676537"/>
          <c:h val="0.74222429823390734"/>
        </c:manualLayout>
      </c:layout>
      <c:scatterChart>
        <c:scatterStyle val="lineMarker"/>
        <c:varyColors val="0"/>
        <c:ser>
          <c:idx val="0"/>
          <c:order val="0"/>
          <c:tx>
            <c:strRef>
              <c:f>спектър!$C$15</c:f>
              <c:strCache>
                <c:ptCount val="1"/>
                <c:pt idx="0">
                  <c:v>Mo(VI) – 3,5-DNC – TTC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xVal>
            <c:numRef>
              <c:f>спектър!$B$16:$B$35</c:f>
              <c:numCache>
                <c:formatCode>General</c:formatCode>
                <c:ptCount val="20"/>
                <c:pt idx="0">
                  <c:v>360</c:v>
                </c:pt>
                <c:pt idx="1">
                  <c:v>370</c:v>
                </c:pt>
                <c:pt idx="2">
                  <c:v>380</c:v>
                </c:pt>
                <c:pt idx="3">
                  <c:v>390</c:v>
                </c:pt>
                <c:pt idx="4">
                  <c:v>395</c:v>
                </c:pt>
                <c:pt idx="5">
                  <c:v>400</c:v>
                </c:pt>
                <c:pt idx="6">
                  <c:v>405</c:v>
                </c:pt>
                <c:pt idx="7">
                  <c:v>410</c:v>
                </c:pt>
                <c:pt idx="8">
                  <c:v>415</c:v>
                </c:pt>
                <c:pt idx="9">
                  <c:v>420</c:v>
                </c:pt>
                <c:pt idx="10">
                  <c:v>430</c:v>
                </c:pt>
                <c:pt idx="11">
                  <c:v>440</c:v>
                </c:pt>
                <c:pt idx="12">
                  <c:v>450</c:v>
                </c:pt>
                <c:pt idx="13">
                  <c:v>460</c:v>
                </c:pt>
                <c:pt idx="14">
                  <c:v>480</c:v>
                </c:pt>
                <c:pt idx="15">
                  <c:v>500</c:v>
                </c:pt>
                <c:pt idx="16">
                  <c:v>520</c:v>
                </c:pt>
                <c:pt idx="17">
                  <c:v>540</c:v>
                </c:pt>
                <c:pt idx="18">
                  <c:v>560</c:v>
                </c:pt>
                <c:pt idx="19">
                  <c:v>580</c:v>
                </c:pt>
              </c:numCache>
            </c:numRef>
          </c:xVal>
          <c:yVal>
            <c:numRef>
              <c:f>спектър!$C$16:$C$35</c:f>
              <c:numCache>
                <c:formatCode>General</c:formatCode>
                <c:ptCount val="20"/>
                <c:pt idx="0">
                  <c:v>0.11</c:v>
                </c:pt>
                <c:pt idx="1">
                  <c:v>0.14899999999999999</c:v>
                </c:pt>
                <c:pt idx="2">
                  <c:v>0.19999999999999998</c:v>
                </c:pt>
                <c:pt idx="3">
                  <c:v>0.26500000000000001</c:v>
                </c:pt>
                <c:pt idx="4">
                  <c:v>0.31599999999999995</c:v>
                </c:pt>
                <c:pt idx="5">
                  <c:v>0.33599999999999997</c:v>
                </c:pt>
                <c:pt idx="6">
                  <c:v>0.35199999999999998</c:v>
                </c:pt>
                <c:pt idx="7">
                  <c:v>0.35699999999999998</c:v>
                </c:pt>
                <c:pt idx="8">
                  <c:v>0.35399999999999998</c:v>
                </c:pt>
                <c:pt idx="9">
                  <c:v>0.34899999999999998</c:v>
                </c:pt>
                <c:pt idx="10">
                  <c:v>0.31699999999999995</c:v>
                </c:pt>
                <c:pt idx="11">
                  <c:v>0.24899999999999997</c:v>
                </c:pt>
                <c:pt idx="12">
                  <c:v>0.17399999999999996</c:v>
                </c:pt>
                <c:pt idx="13">
                  <c:v>0.10200000000000001</c:v>
                </c:pt>
                <c:pt idx="14">
                  <c:v>6.7000000000000004E-2</c:v>
                </c:pt>
                <c:pt idx="15">
                  <c:v>0.05</c:v>
                </c:pt>
                <c:pt idx="16">
                  <c:v>3.5000000000000003E-2</c:v>
                </c:pt>
                <c:pt idx="17">
                  <c:v>2.1000000000000001E-2</c:v>
                </c:pt>
                <c:pt idx="18">
                  <c:v>1.2E-2</c:v>
                </c:pt>
                <c:pt idx="19">
                  <c:v>4.0000000000000001E-3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спектър!$D$15</c:f>
              <c:strCache>
                <c:ptCount val="1"/>
                <c:pt idx="0">
                  <c:v>3,5-DNC – TTC</c:v>
                </c:pt>
              </c:strCache>
            </c:strRef>
          </c:tx>
          <c:spPr>
            <a:ln w="12700">
              <a:solidFill>
                <a:schemeClr val="tx1"/>
              </a:solidFill>
              <a:prstDash val="dash"/>
            </a:ln>
          </c:spPr>
          <c:marker>
            <c:symbol val="squar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xVal>
            <c:numRef>
              <c:f>спектър!$B$16:$B$35</c:f>
              <c:numCache>
                <c:formatCode>General</c:formatCode>
                <c:ptCount val="20"/>
                <c:pt idx="0">
                  <c:v>360</c:v>
                </c:pt>
                <c:pt idx="1">
                  <c:v>370</c:v>
                </c:pt>
                <c:pt idx="2">
                  <c:v>380</c:v>
                </c:pt>
                <c:pt idx="3">
                  <c:v>390</c:v>
                </c:pt>
                <c:pt idx="4">
                  <c:v>395</c:v>
                </c:pt>
                <c:pt idx="5">
                  <c:v>400</c:v>
                </c:pt>
                <c:pt idx="6">
                  <c:v>405</c:v>
                </c:pt>
                <c:pt idx="7">
                  <c:v>410</c:v>
                </c:pt>
                <c:pt idx="8">
                  <c:v>415</c:v>
                </c:pt>
                <c:pt idx="9">
                  <c:v>420</c:v>
                </c:pt>
                <c:pt idx="10">
                  <c:v>430</c:v>
                </c:pt>
                <c:pt idx="11">
                  <c:v>440</c:v>
                </c:pt>
                <c:pt idx="12">
                  <c:v>450</c:v>
                </c:pt>
                <c:pt idx="13">
                  <c:v>460</c:v>
                </c:pt>
                <c:pt idx="14">
                  <c:v>480</c:v>
                </c:pt>
                <c:pt idx="15">
                  <c:v>500</c:v>
                </c:pt>
                <c:pt idx="16">
                  <c:v>520</c:v>
                </c:pt>
                <c:pt idx="17">
                  <c:v>540</c:v>
                </c:pt>
                <c:pt idx="18">
                  <c:v>560</c:v>
                </c:pt>
                <c:pt idx="19">
                  <c:v>580</c:v>
                </c:pt>
              </c:numCache>
            </c:numRef>
          </c:xVal>
          <c:yVal>
            <c:numRef>
              <c:f>спектър!$D$16:$D$35</c:f>
              <c:numCache>
                <c:formatCode>General</c:formatCode>
                <c:ptCount val="20"/>
                <c:pt idx="0">
                  <c:v>0.46200000000000002</c:v>
                </c:pt>
                <c:pt idx="1">
                  <c:v>0.38700000000000001</c:v>
                </c:pt>
                <c:pt idx="2">
                  <c:v>0.32600000000000001</c:v>
                </c:pt>
                <c:pt idx="3">
                  <c:v>0.27</c:v>
                </c:pt>
                <c:pt idx="4">
                  <c:v>0.21299999999999999</c:v>
                </c:pt>
                <c:pt idx="5">
                  <c:v>0.182</c:v>
                </c:pt>
                <c:pt idx="6">
                  <c:v>0.151</c:v>
                </c:pt>
                <c:pt idx="7">
                  <c:v>0.126</c:v>
                </c:pt>
                <c:pt idx="8">
                  <c:v>0.11</c:v>
                </c:pt>
                <c:pt idx="9">
                  <c:v>9.9000000000000005E-2</c:v>
                </c:pt>
                <c:pt idx="10">
                  <c:v>8.3000000000000004E-2</c:v>
                </c:pt>
                <c:pt idx="11">
                  <c:v>7.5999999999999998E-2</c:v>
                </c:pt>
                <c:pt idx="12">
                  <c:v>6.7000000000000004E-2</c:v>
                </c:pt>
                <c:pt idx="13">
                  <c:v>0.06</c:v>
                </c:pt>
                <c:pt idx="14">
                  <c:v>4.3999999999999997E-2</c:v>
                </c:pt>
                <c:pt idx="15">
                  <c:v>0.03</c:v>
                </c:pt>
                <c:pt idx="16">
                  <c:v>1.9E-2</c:v>
                </c:pt>
                <c:pt idx="17">
                  <c:v>0.01</c:v>
                </c:pt>
                <c:pt idx="18">
                  <c:v>8.0000000000000002E-3</c:v>
                </c:pt>
                <c:pt idx="19">
                  <c:v>8.0000000000000002E-3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580544"/>
        <c:axId val="95582848"/>
      </c:scatterChart>
      <c:valAx>
        <c:axId val="95580544"/>
        <c:scaling>
          <c:orientation val="minMax"/>
          <c:max val="600"/>
          <c:min val="34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Wavelength </a:t>
                </a:r>
                <a:r>
                  <a:rPr lang="en-GB" sz="800" i="1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</a:t>
                </a: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, nm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endParaRPr lang="en-GB" sz="8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95582848"/>
        <c:crosses val="autoZero"/>
        <c:crossBetween val="midCat"/>
        <c:majorUnit val="50"/>
      </c:valAx>
      <c:valAx>
        <c:axId val="9558284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Absorbance,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a.u.</a:t>
                </a:r>
                <a:endParaRPr lang="en-GB" sz="8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3.1770114942528738E-2"/>
              <c:y val="0.24040793629609858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95580544"/>
        <c:crosses val="autoZero"/>
        <c:crossBetween val="midCat"/>
        <c:majorUnit val="0.1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38761154855643043"/>
          <c:y val="6.4034876996307666E-2"/>
          <c:w val="0.58480224454701779"/>
          <c:h val="0.18266470928422079"/>
        </c:manualLayout>
      </c:layout>
      <c:overlay val="0"/>
      <c:txPr>
        <a:bodyPr/>
        <a:lstStyle/>
        <a:p>
          <a:pPr>
            <a:defRPr sz="7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4</cp:revision>
  <dcterms:created xsi:type="dcterms:W3CDTF">2019-09-26T04:53:00Z</dcterms:created>
  <dcterms:modified xsi:type="dcterms:W3CDTF">2019-10-01T06:54:00Z</dcterms:modified>
</cp:coreProperties>
</file>